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Cascara worksheet.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 fantastic rhythm from Cuba! Sounds great as a groove on any part of the Bateria </w:t>
      </w:r>
      <w:r>
        <w:rPr>
          <w:sz w:val="28"/>
          <w:szCs w:val="28"/>
        </w:rPr>
        <w:t>or drum kit</w:t>
      </w:r>
      <w:r>
        <w:rPr>
          <w:sz w:val="28"/>
          <w:szCs w:val="28"/>
        </w:rPr>
        <w:t xml:space="preserve">. It splits really well between various </w:t>
      </w:r>
      <w:r>
        <w:rPr>
          <w:sz w:val="28"/>
          <w:szCs w:val="28"/>
        </w:rPr>
        <w:t>Agogo</w:t>
      </w:r>
      <w:r>
        <w:rPr>
          <w:sz w:val="28"/>
          <w:szCs w:val="28"/>
        </w:rPr>
        <w:t xml:space="preserve">bell tones and the Surdo section can have plenty of fun with it too. On a drumkit I like to split the accents between the kick and snare to create a really choppy breakbeat. It also works really well as a basis for developing solos sections and percussion breaks between groups of instruments.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Cascara </w:t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44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Groove for Caixa (X’s in bold are accented)</w:t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>
        <w:trPr/>
        <w:tc>
          <w:tcPr>
            <w:tcW w:w="44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>
        <w:trPr/>
        <w:tc>
          <w:tcPr>
            <w:tcW w:w="44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Groove for Caixa with all accents on the right hand</w:t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>
        <w:trPr/>
        <w:tc>
          <w:tcPr>
            <w:tcW w:w="44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>
        <w:trPr/>
        <w:tc>
          <w:tcPr>
            <w:tcW w:w="44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8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450"/>
        <w:gridCol w:w="450"/>
        <w:gridCol w:w="451"/>
        <w:gridCol w:w="451"/>
        <w:gridCol w:w="450"/>
        <w:gridCol w:w="450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63"/>
      </w:tblGrid>
      <w:tr>
        <w:trPr/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67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30EC-AA99-4250-838D-BFA8F4D6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LibreOffice/6.2.3.2$Windows_X86_64 LibreOffice_project/aecc05fe267cc68dde00352a451aa867b3b546ac</Application>
  <Pages>2</Pages>
  <Words>327</Words>
  <Characters>684</Characters>
  <CharactersWithSpaces>781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2015-06-10T20:10:00Z</dcterms:created>
  <dc:creator>Ceri Howells</dc:creator>
  <dc:description/>
  <dc:language>en-GB</dc:language>
  <cp:lastModifiedBy/>
  <dcterms:modified xsi:type="dcterms:W3CDTF">2020-06-16T10:54:53Z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